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3A688" w14:textId="338486D0" w:rsidR="00C54A7F" w:rsidRPr="00D37D30" w:rsidRDefault="00D37D30" w:rsidP="003D363D">
      <w:pPr>
        <w:spacing w:after="0"/>
        <w:rPr>
          <w:b/>
          <w:bCs/>
        </w:rPr>
      </w:pPr>
      <w:r w:rsidRPr="00D37D30">
        <w:rPr>
          <w:b/>
          <w:bCs/>
        </w:rPr>
        <w:t>FURTHER ADJUSTMENT TO STATEMENT OF ACCOUNTS 2020/21</w:t>
      </w:r>
    </w:p>
    <w:p w14:paraId="76EA1EFA" w14:textId="0EB35DED" w:rsidR="003D363D" w:rsidRDefault="003D363D" w:rsidP="003D363D">
      <w:pPr>
        <w:spacing w:after="0"/>
      </w:pPr>
    </w:p>
    <w:p w14:paraId="747C7F0C" w14:textId="130FE0AB" w:rsidR="00651250" w:rsidRDefault="003D363D" w:rsidP="003D363D">
      <w:pPr>
        <w:spacing w:after="0"/>
      </w:pPr>
      <w:r>
        <w:t xml:space="preserve">A further adjustment has been identified in respect of an error in the calculation of the depreciation charges for assets classed as </w:t>
      </w:r>
      <w:r w:rsidR="00A87722">
        <w:t xml:space="preserve">Other Land and Buildings in </w:t>
      </w:r>
      <w:r w:rsidR="007B33B6">
        <w:t xml:space="preserve">Note 15 </w:t>
      </w:r>
      <w:r>
        <w:t>Property, Plant &amp; Equipment</w:t>
      </w:r>
      <w:r w:rsidR="00A87722">
        <w:t>,</w:t>
      </w:r>
      <w:r>
        <w:t xml:space="preserve"> that have been revalued </w:t>
      </w:r>
      <w:r w:rsidR="00A87722">
        <w:t>as at 31 March 2021</w:t>
      </w:r>
      <w:r>
        <w:t xml:space="preserve">. </w:t>
      </w:r>
      <w:r w:rsidR="00651250">
        <w:t>The depreciation charge for these assets had been based on the revalued amount rather than on net book value prior to revaluation, and had not then been written out as part of the revaluation process. A corresponding error has been identified in the calculations for 2019/20, but because of the relatively low total value of assets involved (just £214k, compared to £17.507m for 2020/21), the difference is not material and so no retrospective adjustment is required.</w:t>
      </w:r>
    </w:p>
    <w:p w14:paraId="3EC0E1ED" w14:textId="77777777" w:rsidR="00651250" w:rsidRDefault="00651250" w:rsidP="003D363D">
      <w:pPr>
        <w:spacing w:after="0"/>
      </w:pPr>
    </w:p>
    <w:p w14:paraId="1226FF61" w14:textId="6722D7E2" w:rsidR="003D363D" w:rsidRDefault="007B33B6" w:rsidP="003D363D">
      <w:pPr>
        <w:spacing w:after="0"/>
      </w:pPr>
      <w:r>
        <w:t xml:space="preserve">Given the interrelationships between different parts of the Statement, these changes require matching amendments to be made across the Core Statements and a number of other Notes. The maximum amount by which any figure will change is £784k and therefore above the materiality threshold. The changes are, however, technical in nature and the level of Usable Reserves at 31 March 2021 is not affected. </w:t>
      </w:r>
      <w:r w:rsidR="003D363D">
        <w:t>The changes required are as follows.</w:t>
      </w:r>
    </w:p>
    <w:p w14:paraId="163C6AE8" w14:textId="26DE0F1D" w:rsidR="003D363D" w:rsidRDefault="003D363D" w:rsidP="003D363D">
      <w:pPr>
        <w:spacing w:after="0"/>
      </w:pPr>
    </w:p>
    <w:p w14:paraId="3EFAD82E" w14:textId="4332998C" w:rsidR="003D363D" w:rsidRDefault="003D363D" w:rsidP="003D363D">
      <w:pPr>
        <w:spacing w:after="0"/>
      </w:pPr>
      <w:r>
        <w:t xml:space="preserve">In Note </w:t>
      </w:r>
      <w:r w:rsidR="00A87722">
        <w:t>1</w:t>
      </w:r>
      <w:r>
        <w:t>5 Property, Plant and Equipment</w:t>
      </w:r>
      <w:r w:rsidR="00A87722">
        <w:t xml:space="preserve">, in the column for </w:t>
      </w:r>
      <w:r>
        <w:t>:</w:t>
      </w:r>
    </w:p>
    <w:p w14:paraId="1C4DA88D" w14:textId="1A7DF786" w:rsidR="003D363D" w:rsidRDefault="003D363D" w:rsidP="00A87722">
      <w:pPr>
        <w:pStyle w:val="ListParagraph"/>
        <w:numPr>
          <w:ilvl w:val="0"/>
          <w:numId w:val="1"/>
        </w:numPr>
        <w:spacing w:after="0"/>
      </w:pPr>
      <w:r>
        <w:t>The depreciation charge for the year will be reduced by £152k</w:t>
      </w:r>
    </w:p>
    <w:p w14:paraId="6D8D9942" w14:textId="0C3D69A4" w:rsidR="003D363D" w:rsidRDefault="003D363D" w:rsidP="00A87722">
      <w:pPr>
        <w:pStyle w:val="ListParagraph"/>
        <w:numPr>
          <w:ilvl w:val="0"/>
          <w:numId w:val="1"/>
        </w:numPr>
        <w:spacing w:after="0"/>
      </w:pPr>
      <w:r>
        <w:t>The amount of accumulated depreciation written out on revaluation will increase by £632k, split between amounts written out to the Revaluation Reserve and to the Comprehensive Income &amp; Expenditure Statement.</w:t>
      </w:r>
    </w:p>
    <w:p w14:paraId="2B0A78B8" w14:textId="65CC77ED" w:rsidR="003D363D" w:rsidRDefault="003D363D" w:rsidP="00A87722">
      <w:pPr>
        <w:pStyle w:val="ListParagraph"/>
        <w:numPr>
          <w:ilvl w:val="0"/>
          <w:numId w:val="1"/>
        </w:numPr>
        <w:spacing w:after="0"/>
      </w:pPr>
      <w:r>
        <w:t xml:space="preserve">In total, accumulated depreciation and impairment </w:t>
      </w:r>
      <w:r w:rsidR="00A87722">
        <w:t>at 31 March 2021 will be reduced by £784k, from £1.809m to £1.025m and net book value be increased from £26.574m to £27.358m.</w:t>
      </w:r>
    </w:p>
    <w:p w14:paraId="4A26E90A" w14:textId="51C7134D" w:rsidR="003D363D" w:rsidRDefault="003D363D" w:rsidP="003D363D">
      <w:pPr>
        <w:spacing w:after="0"/>
      </w:pPr>
    </w:p>
    <w:p w14:paraId="5D3C55AD" w14:textId="7AABFC4B" w:rsidR="003D363D" w:rsidRDefault="00A87722" w:rsidP="003D363D">
      <w:pPr>
        <w:spacing w:after="0"/>
      </w:pPr>
      <w:r>
        <w:t>These amendments carry through to one or more figures in the following Core Statements and supporting Notes:</w:t>
      </w:r>
    </w:p>
    <w:p w14:paraId="32FAC853" w14:textId="40CB59D9" w:rsidR="00A87722" w:rsidRDefault="00A87722" w:rsidP="00F41709">
      <w:pPr>
        <w:pStyle w:val="ListParagraph"/>
        <w:numPr>
          <w:ilvl w:val="0"/>
          <w:numId w:val="2"/>
        </w:numPr>
        <w:spacing w:after="0"/>
      </w:pPr>
      <w:r>
        <w:t>Comprehensive Income and Expenditure Account</w:t>
      </w:r>
    </w:p>
    <w:p w14:paraId="5442A463" w14:textId="1E57B620" w:rsidR="00A87722" w:rsidRDefault="00A87722" w:rsidP="00F41709">
      <w:pPr>
        <w:pStyle w:val="ListParagraph"/>
        <w:numPr>
          <w:ilvl w:val="0"/>
          <w:numId w:val="2"/>
        </w:numPr>
        <w:spacing w:after="0"/>
      </w:pPr>
      <w:r>
        <w:t>Movement in Reserves Statement</w:t>
      </w:r>
    </w:p>
    <w:p w14:paraId="25F2A02D" w14:textId="08C76599" w:rsidR="00A87722" w:rsidRDefault="00A87722" w:rsidP="00F41709">
      <w:pPr>
        <w:pStyle w:val="ListParagraph"/>
        <w:numPr>
          <w:ilvl w:val="0"/>
          <w:numId w:val="2"/>
        </w:numPr>
        <w:spacing w:after="0"/>
      </w:pPr>
      <w:r>
        <w:t>Balance Sheet</w:t>
      </w:r>
    </w:p>
    <w:p w14:paraId="64915E45" w14:textId="36905AD1" w:rsidR="00A87722" w:rsidRDefault="00A87722" w:rsidP="00F41709">
      <w:pPr>
        <w:pStyle w:val="ListParagraph"/>
        <w:numPr>
          <w:ilvl w:val="0"/>
          <w:numId w:val="2"/>
        </w:numPr>
        <w:spacing w:after="0"/>
      </w:pPr>
      <w:r>
        <w:t>Cash Flow Statement</w:t>
      </w:r>
    </w:p>
    <w:p w14:paraId="5AF8C569" w14:textId="1503832F" w:rsidR="00A87722" w:rsidRDefault="00F41709" w:rsidP="00F41709">
      <w:pPr>
        <w:pStyle w:val="ListParagraph"/>
        <w:numPr>
          <w:ilvl w:val="0"/>
          <w:numId w:val="2"/>
        </w:numPr>
        <w:spacing w:after="0"/>
      </w:pPr>
      <w:r>
        <w:t>Note 1 Expenditure and Funding Analysis</w:t>
      </w:r>
    </w:p>
    <w:p w14:paraId="3168D06C" w14:textId="77777777" w:rsidR="003526DF" w:rsidRDefault="003526DF" w:rsidP="003526DF">
      <w:pPr>
        <w:pStyle w:val="ListParagraph"/>
        <w:numPr>
          <w:ilvl w:val="0"/>
          <w:numId w:val="2"/>
        </w:numPr>
        <w:spacing w:after="0"/>
      </w:pPr>
      <w:r>
        <w:t>Note 8 Note to the Expenditure and Funding Analysis</w:t>
      </w:r>
    </w:p>
    <w:p w14:paraId="1D108692" w14:textId="77777777" w:rsidR="003526DF" w:rsidRDefault="003526DF" w:rsidP="003526DF">
      <w:pPr>
        <w:pStyle w:val="ListParagraph"/>
        <w:numPr>
          <w:ilvl w:val="0"/>
          <w:numId w:val="2"/>
        </w:numPr>
        <w:spacing w:after="0"/>
      </w:pPr>
      <w:r>
        <w:t>Note 9 Expenditure and Income Analysed By Nature</w:t>
      </w:r>
    </w:p>
    <w:p w14:paraId="1E073F85" w14:textId="77777777" w:rsidR="003526DF" w:rsidRDefault="003526DF" w:rsidP="003526DF">
      <w:pPr>
        <w:pStyle w:val="ListParagraph"/>
        <w:numPr>
          <w:ilvl w:val="0"/>
          <w:numId w:val="2"/>
        </w:numPr>
        <w:spacing w:after="0"/>
      </w:pPr>
      <w:r>
        <w:t>Note 10 Adjustments between accounting basis and funding basis under regulations</w:t>
      </w:r>
    </w:p>
    <w:p w14:paraId="17282012" w14:textId="77777777" w:rsidR="003526DF" w:rsidRDefault="003526DF" w:rsidP="003526DF">
      <w:pPr>
        <w:pStyle w:val="ListParagraph"/>
        <w:numPr>
          <w:ilvl w:val="0"/>
          <w:numId w:val="2"/>
        </w:numPr>
        <w:spacing w:after="0"/>
      </w:pPr>
      <w:r>
        <w:t>Note 13 Financing and investment income and expenditure</w:t>
      </w:r>
    </w:p>
    <w:p w14:paraId="5960E45F" w14:textId="77777777" w:rsidR="003526DF" w:rsidRDefault="003526DF" w:rsidP="003526DF">
      <w:pPr>
        <w:pStyle w:val="ListParagraph"/>
        <w:numPr>
          <w:ilvl w:val="0"/>
          <w:numId w:val="2"/>
        </w:numPr>
        <w:spacing w:after="0"/>
      </w:pPr>
      <w:r>
        <w:t>Note 25 Unusable reserves</w:t>
      </w:r>
    </w:p>
    <w:p w14:paraId="752601E0" w14:textId="77777777" w:rsidR="003526DF" w:rsidRDefault="003526DF" w:rsidP="003526DF">
      <w:pPr>
        <w:pStyle w:val="ListParagraph"/>
        <w:numPr>
          <w:ilvl w:val="0"/>
          <w:numId w:val="2"/>
        </w:numPr>
        <w:spacing w:after="0"/>
      </w:pPr>
      <w:r>
        <w:t>Note 25a Revaluation Reserve</w:t>
      </w:r>
    </w:p>
    <w:p w14:paraId="4E22E7C2" w14:textId="77777777" w:rsidR="003526DF" w:rsidRDefault="003526DF" w:rsidP="003526DF">
      <w:pPr>
        <w:pStyle w:val="ListParagraph"/>
        <w:numPr>
          <w:ilvl w:val="0"/>
          <w:numId w:val="2"/>
        </w:numPr>
        <w:spacing w:after="0"/>
      </w:pPr>
      <w:r>
        <w:t>Note 25b Capital Adjustment Account</w:t>
      </w:r>
    </w:p>
    <w:p w14:paraId="519846A4" w14:textId="77777777" w:rsidR="003526DF" w:rsidRDefault="003526DF" w:rsidP="003526DF">
      <w:pPr>
        <w:pStyle w:val="ListParagraph"/>
        <w:numPr>
          <w:ilvl w:val="0"/>
          <w:numId w:val="2"/>
        </w:numPr>
        <w:spacing w:after="0"/>
      </w:pPr>
      <w:r>
        <w:t>Note 26 Cash flow statement - operating activities</w:t>
      </w:r>
    </w:p>
    <w:p w14:paraId="42CC4D75" w14:textId="770F03AD" w:rsidR="003526DF" w:rsidRDefault="003526DF" w:rsidP="003526DF">
      <w:pPr>
        <w:pStyle w:val="ListParagraph"/>
        <w:numPr>
          <w:ilvl w:val="0"/>
          <w:numId w:val="2"/>
        </w:numPr>
        <w:spacing w:after="0"/>
      </w:pPr>
      <w:r>
        <w:t>Note 29 Trading operations</w:t>
      </w:r>
    </w:p>
    <w:p w14:paraId="58E4DA79" w14:textId="77777777" w:rsidR="00F41709" w:rsidRDefault="00F41709" w:rsidP="003D363D">
      <w:pPr>
        <w:spacing w:after="0"/>
      </w:pPr>
    </w:p>
    <w:p w14:paraId="6478D455" w14:textId="433045CB" w:rsidR="003D363D" w:rsidRDefault="007B33B6" w:rsidP="003D363D">
      <w:pPr>
        <w:spacing w:after="0"/>
      </w:pPr>
      <w:r>
        <w:t>General Fund Reserves at 31 March 2021 remain unchanged at £</w:t>
      </w:r>
      <w:r w:rsidR="00D37D30">
        <w:t xml:space="preserve">26.913m </w:t>
      </w:r>
      <w:r>
        <w:t>and total Usab</w:t>
      </w:r>
      <w:r w:rsidR="00D37D30">
        <w:t>le Reserves at £35.916m.</w:t>
      </w:r>
    </w:p>
    <w:p w14:paraId="03C6CEC3" w14:textId="7CF6B0C7" w:rsidR="003D363D" w:rsidRDefault="003D363D" w:rsidP="003D363D">
      <w:pPr>
        <w:spacing w:after="0"/>
      </w:pPr>
    </w:p>
    <w:p w14:paraId="1EE8CD5D" w14:textId="77777777" w:rsidR="003D363D" w:rsidRDefault="003D363D" w:rsidP="003D363D">
      <w:pPr>
        <w:spacing w:after="0"/>
      </w:pPr>
    </w:p>
    <w:sectPr w:rsidR="003D3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D7651"/>
    <w:multiLevelType w:val="hybridMultilevel"/>
    <w:tmpl w:val="A794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16ACF"/>
    <w:multiLevelType w:val="hybridMultilevel"/>
    <w:tmpl w:val="BFE8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3D"/>
    <w:rsid w:val="003526DF"/>
    <w:rsid w:val="003D363D"/>
    <w:rsid w:val="00651250"/>
    <w:rsid w:val="007B33B6"/>
    <w:rsid w:val="00A87722"/>
    <w:rsid w:val="00C54A7F"/>
    <w:rsid w:val="00D37D30"/>
    <w:rsid w:val="00F4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61A1"/>
  <w15:chartTrackingRefBased/>
  <w15:docId w15:val="{30627430-9C91-4FAA-B791-55F70A7C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Furber</dc:creator>
  <cp:keywords/>
  <dc:description/>
  <cp:lastModifiedBy>Tony Furber</cp:lastModifiedBy>
  <cp:revision>2</cp:revision>
  <dcterms:created xsi:type="dcterms:W3CDTF">2021-09-29T07:40:00Z</dcterms:created>
  <dcterms:modified xsi:type="dcterms:W3CDTF">2021-09-29T10:50:00Z</dcterms:modified>
</cp:coreProperties>
</file>